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017D" w14:textId="29CB5279" w:rsidR="00B67C56" w:rsidRDefault="00B67C56" w:rsidP="00FE7BC0">
      <w:pPr>
        <w:pStyle w:val="ListParagraph"/>
        <w:spacing w:after="120"/>
        <w:ind w:left="0"/>
        <w:jc w:val="both"/>
        <w:rPr>
          <w:rFonts w:asciiTheme="majorHAnsi" w:hAnsiTheme="majorHAnsi"/>
          <w:b/>
          <w:bCs/>
          <w:sz w:val="22"/>
          <w:szCs w:val="22"/>
        </w:rPr>
      </w:pPr>
      <w:bookmarkStart w:id="0" w:name="_Hlk40644653"/>
      <w:r w:rsidRPr="00B67C56">
        <w:rPr>
          <w:rFonts w:asciiTheme="majorHAnsi" w:hAnsiTheme="majorHAnsi"/>
          <w:b/>
          <w:bCs/>
          <w:sz w:val="22"/>
          <w:szCs w:val="22"/>
        </w:rPr>
        <w:t>Template Instructions</w:t>
      </w:r>
      <w:r w:rsidR="00FE7BC0">
        <w:rPr>
          <w:rFonts w:asciiTheme="majorHAnsi" w:hAnsiTheme="majorHAnsi"/>
          <w:b/>
          <w:bCs/>
          <w:sz w:val="22"/>
          <w:szCs w:val="22"/>
        </w:rPr>
        <w:t>:</w:t>
      </w:r>
    </w:p>
    <w:p w14:paraId="69B39796" w14:textId="7C9B6DF7" w:rsidR="00FE7BC0" w:rsidRPr="00B67C56" w:rsidRDefault="00FE7BC0" w:rsidP="00FE7BC0">
      <w:pPr>
        <w:pStyle w:val="ListParagraph"/>
        <w:spacing w:after="120"/>
        <w:ind w:left="0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25EE38A" w14:textId="616F5367" w:rsidR="00252F89" w:rsidRPr="00252F89" w:rsidRDefault="00252F89" w:rsidP="00252F89">
      <w:pPr>
        <w:numPr>
          <w:ilvl w:val="0"/>
          <w:numId w:val="2"/>
        </w:numPr>
        <w:spacing w:after="120"/>
        <w:contextualSpacing/>
        <w:jc w:val="both"/>
        <w:rPr>
          <w:rFonts w:ascii="Calibri" w:eastAsia="Cambria" w:hAnsi="Calibri" w:cs="Calibri"/>
          <w:sz w:val="22"/>
          <w:szCs w:val="22"/>
        </w:rPr>
      </w:pPr>
      <w:r w:rsidRPr="00252F89">
        <w:rPr>
          <w:rFonts w:ascii="Calibri" w:eastAsia="Cambria" w:hAnsi="Calibri" w:cs="Calibri"/>
          <w:sz w:val="22"/>
          <w:szCs w:val="22"/>
        </w:rPr>
        <w:t>The Australian Sports Commission has developed a range of template documents that can be used by Sport</w:t>
      </w:r>
      <w:r w:rsidR="00773759">
        <w:rPr>
          <w:rFonts w:ascii="Calibri" w:eastAsia="Cambria" w:hAnsi="Calibri" w:cs="Calibri"/>
          <w:sz w:val="22"/>
          <w:szCs w:val="22"/>
        </w:rPr>
        <w:t>ing</w:t>
      </w:r>
      <w:r w:rsidRPr="00252F89">
        <w:rPr>
          <w:rFonts w:ascii="Calibri" w:eastAsia="Cambria" w:hAnsi="Calibri" w:cs="Calibri"/>
          <w:sz w:val="22"/>
          <w:szCs w:val="22"/>
        </w:rPr>
        <w:t xml:space="preserve"> Organisation</w:t>
      </w:r>
      <w:r w:rsidR="00773759">
        <w:rPr>
          <w:rFonts w:ascii="Calibri" w:eastAsia="Cambria" w:hAnsi="Calibri" w:cs="Calibri"/>
          <w:sz w:val="22"/>
          <w:szCs w:val="22"/>
        </w:rPr>
        <w:t>s</w:t>
      </w:r>
      <w:r w:rsidR="00BB3541">
        <w:rPr>
          <w:rFonts w:ascii="Calibri" w:eastAsia="Cambria" w:hAnsi="Calibri" w:cs="Calibri"/>
          <w:sz w:val="22"/>
          <w:szCs w:val="22"/>
        </w:rPr>
        <w:t xml:space="preserve"> (SO)</w:t>
      </w:r>
      <w:r w:rsidRPr="00252F89">
        <w:rPr>
          <w:rFonts w:ascii="Calibri" w:eastAsia="Cambria" w:hAnsi="Calibri" w:cs="Calibri"/>
          <w:sz w:val="22"/>
          <w:szCs w:val="22"/>
        </w:rPr>
        <w:t xml:space="preserve"> to form a Risk Management Framework. </w:t>
      </w:r>
    </w:p>
    <w:p w14:paraId="4D4C0CC2" w14:textId="77777777" w:rsidR="00252F89" w:rsidRPr="00252F89" w:rsidRDefault="00252F89" w:rsidP="00252F89">
      <w:pPr>
        <w:spacing w:after="120"/>
        <w:ind w:left="360"/>
        <w:contextualSpacing/>
        <w:rPr>
          <w:rFonts w:ascii="Calibri" w:eastAsia="Cambria" w:hAnsi="Calibri" w:cs="Calibri"/>
          <w:sz w:val="22"/>
          <w:szCs w:val="22"/>
        </w:rPr>
      </w:pPr>
    </w:p>
    <w:p w14:paraId="79925054" w14:textId="66C590EF" w:rsidR="00252F89" w:rsidRPr="00252F89" w:rsidRDefault="00252F89" w:rsidP="3F44616A">
      <w:pPr>
        <w:numPr>
          <w:ilvl w:val="0"/>
          <w:numId w:val="2"/>
        </w:numPr>
        <w:spacing w:after="120"/>
        <w:contextualSpacing/>
        <w:jc w:val="both"/>
        <w:rPr>
          <w:sz w:val="22"/>
          <w:szCs w:val="22"/>
        </w:rPr>
      </w:pPr>
      <w:r w:rsidRPr="3F44616A">
        <w:rPr>
          <w:rFonts w:ascii="Calibri" w:eastAsia="Cambria" w:hAnsi="Calibri" w:cs="Calibri"/>
          <w:sz w:val="22"/>
          <w:szCs w:val="22"/>
        </w:rPr>
        <w:t xml:space="preserve">This Template document should be read in conjunction with the </w:t>
      </w:r>
      <w:r w:rsidR="1DBA9C9D" w:rsidRPr="3F44616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‘Risk Management Process Implementation Guide’</w:t>
      </w:r>
      <w:r w:rsidR="1DBA9C9D" w:rsidRPr="3F44616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3F44616A">
        <w:rPr>
          <w:rFonts w:ascii="Calibri" w:eastAsia="Cambria" w:hAnsi="Calibri" w:cs="Calibri"/>
          <w:sz w:val="22"/>
          <w:szCs w:val="22"/>
        </w:rPr>
        <w:t>for Base Level Risk Maturity.</w:t>
      </w:r>
    </w:p>
    <w:p w14:paraId="2181FE51" w14:textId="546238F1" w:rsidR="00B67C56" w:rsidRPr="00252F89" w:rsidRDefault="00B67C56" w:rsidP="3F44616A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3F44616A">
        <w:rPr>
          <w:rFonts w:ascii="Calibri" w:hAnsi="Calibri"/>
          <w:sz w:val="22"/>
          <w:szCs w:val="22"/>
        </w:rPr>
        <w:t xml:space="preserve">This </w:t>
      </w:r>
      <w:r w:rsidRPr="3F44616A">
        <w:rPr>
          <w:rFonts w:asciiTheme="majorHAnsi" w:hAnsiTheme="majorHAnsi"/>
          <w:sz w:val="22"/>
          <w:szCs w:val="22"/>
        </w:rPr>
        <w:t>template outlines examples of the type of reporting that Sport</w:t>
      </w:r>
      <w:r w:rsidR="00773759">
        <w:rPr>
          <w:rFonts w:asciiTheme="majorHAnsi" w:hAnsiTheme="majorHAnsi"/>
          <w:sz w:val="22"/>
          <w:szCs w:val="22"/>
        </w:rPr>
        <w:t>ing</w:t>
      </w:r>
      <w:r w:rsidRPr="3F44616A">
        <w:rPr>
          <w:rFonts w:asciiTheme="majorHAnsi" w:hAnsiTheme="majorHAnsi"/>
          <w:sz w:val="22"/>
          <w:szCs w:val="22"/>
        </w:rPr>
        <w:t xml:space="preserve"> Organisation</w:t>
      </w:r>
      <w:r w:rsidR="00773759">
        <w:rPr>
          <w:rFonts w:asciiTheme="majorHAnsi" w:hAnsiTheme="majorHAnsi"/>
          <w:sz w:val="22"/>
          <w:szCs w:val="22"/>
        </w:rPr>
        <w:t>s</w:t>
      </w:r>
      <w:r w:rsidRPr="3F44616A">
        <w:rPr>
          <w:rFonts w:asciiTheme="majorHAnsi" w:hAnsiTheme="majorHAnsi"/>
          <w:sz w:val="22"/>
          <w:szCs w:val="22"/>
        </w:rPr>
        <w:t xml:space="preserve"> should implement in its regular Board and Management Risk Reports.</w:t>
      </w:r>
    </w:p>
    <w:p w14:paraId="13061E1A" w14:textId="3A3CC672" w:rsidR="00B67C56" w:rsidRPr="00B67C56" w:rsidRDefault="00B67C56" w:rsidP="00B67C56">
      <w:pPr>
        <w:pStyle w:val="ListParagraph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</w:p>
    <w:p w14:paraId="570A476E" w14:textId="30248E70" w:rsidR="00B67C56" w:rsidRPr="00B67C56" w:rsidRDefault="00B67C56" w:rsidP="3F44616A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3F44616A">
        <w:rPr>
          <w:rFonts w:asciiTheme="majorHAnsi" w:hAnsiTheme="majorHAnsi"/>
          <w:sz w:val="22"/>
          <w:szCs w:val="22"/>
        </w:rPr>
        <w:t xml:space="preserve">Yellow highlighting within </w:t>
      </w:r>
      <w:r w:rsidRPr="3F44616A">
        <w:rPr>
          <w:rFonts w:asciiTheme="majorHAnsi" w:hAnsiTheme="majorHAnsi"/>
          <w:sz w:val="22"/>
          <w:szCs w:val="22"/>
          <w:highlight w:val="yellow"/>
        </w:rPr>
        <w:t>[ ]</w:t>
      </w:r>
      <w:r w:rsidRPr="3F44616A">
        <w:rPr>
          <w:rFonts w:asciiTheme="majorHAnsi" w:hAnsiTheme="majorHAnsi"/>
          <w:sz w:val="22"/>
          <w:szCs w:val="22"/>
        </w:rPr>
        <w:t xml:space="preserve"> brackets indicates further information is required from the Sport</w:t>
      </w:r>
      <w:r w:rsidR="00773759">
        <w:rPr>
          <w:rFonts w:asciiTheme="majorHAnsi" w:hAnsiTheme="majorHAnsi"/>
          <w:sz w:val="22"/>
          <w:szCs w:val="22"/>
        </w:rPr>
        <w:t>ing</w:t>
      </w:r>
      <w:r w:rsidRPr="3F44616A">
        <w:rPr>
          <w:rFonts w:asciiTheme="majorHAnsi" w:hAnsiTheme="majorHAnsi"/>
          <w:sz w:val="22"/>
          <w:szCs w:val="22"/>
        </w:rPr>
        <w:t xml:space="preserve"> Organisation prior to finalising and adopting its own form of risk reporting. Before finalising, insert relevant information where highlighted in yellow </w:t>
      </w:r>
      <w:r w:rsidRPr="3F44616A">
        <w:rPr>
          <w:rStyle w:val="normaltextrun"/>
          <w:rFonts w:ascii="Calibri" w:hAnsi="Calibri" w:cs="Calibri"/>
          <w:sz w:val="22"/>
          <w:szCs w:val="22"/>
        </w:rPr>
        <w:t>and delete these template instructions</w:t>
      </w:r>
      <w:r w:rsidRPr="3F44616A">
        <w:rPr>
          <w:rFonts w:asciiTheme="majorHAnsi" w:hAnsiTheme="majorHAnsi"/>
          <w:sz w:val="22"/>
          <w:szCs w:val="22"/>
        </w:rPr>
        <w:t>.</w:t>
      </w:r>
    </w:p>
    <w:p w14:paraId="40632E10" w14:textId="6A74951E" w:rsidR="00B67C56" w:rsidRPr="00B67C56" w:rsidRDefault="00B67C56" w:rsidP="00B67C56">
      <w:pPr>
        <w:pStyle w:val="ListParagraph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</w:p>
    <w:p w14:paraId="37EAF341" w14:textId="3EFEDC6D" w:rsidR="00B67C56" w:rsidRDefault="00B67C56" w:rsidP="3F44616A">
      <w:pPr>
        <w:pStyle w:val="ListParagraph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3F44616A">
        <w:rPr>
          <w:rFonts w:asciiTheme="majorHAnsi" w:hAnsiTheme="majorHAnsi"/>
          <w:sz w:val="22"/>
          <w:szCs w:val="22"/>
        </w:rPr>
        <w:t>DISCLAIMER: This template does not constitute legal advice. Sport</w:t>
      </w:r>
      <w:r w:rsidR="00BB3541">
        <w:rPr>
          <w:rFonts w:asciiTheme="majorHAnsi" w:hAnsiTheme="majorHAnsi"/>
          <w:sz w:val="22"/>
          <w:szCs w:val="22"/>
        </w:rPr>
        <w:t>ing</w:t>
      </w:r>
      <w:r w:rsidRPr="3F44616A">
        <w:rPr>
          <w:rFonts w:asciiTheme="majorHAnsi" w:hAnsiTheme="majorHAnsi"/>
          <w:sz w:val="22"/>
          <w:szCs w:val="22"/>
        </w:rPr>
        <w:t xml:space="preserve"> Organisations should take their own professional advice regarding the Risk Management Framework and each template document.</w:t>
      </w:r>
    </w:p>
    <w:p w14:paraId="3A0967D8" w14:textId="4D486DA8" w:rsidR="00FE7BC0" w:rsidRDefault="00FE7BC0" w:rsidP="00FE7BC0">
      <w:pPr>
        <w:pStyle w:val="ListParagraph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</w:p>
    <w:p w14:paraId="619BEF65" w14:textId="74FA013B" w:rsidR="007E6E49" w:rsidRDefault="007E6E49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025C26" wp14:editId="360E3529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5864225" cy="3748405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3052B824" w14:textId="3EF1E99D" w:rsidR="00B67C56" w:rsidRPr="00FE7BC0" w:rsidRDefault="00B67C56" w:rsidP="00FE7BC0">
      <w:pPr>
        <w:pStyle w:val="ListParagraph"/>
        <w:spacing w:after="120"/>
        <w:ind w:left="0"/>
        <w:jc w:val="both"/>
        <w:rPr>
          <w:rFonts w:asciiTheme="majorHAnsi" w:hAnsiTheme="majorHAnsi"/>
          <w:sz w:val="22"/>
          <w:szCs w:val="22"/>
        </w:rPr>
      </w:pPr>
      <w:r w:rsidRPr="00FE7BC0">
        <w:rPr>
          <w:rFonts w:asciiTheme="majorHAnsi" w:hAnsiTheme="majorHAnsi"/>
          <w:b/>
          <w:bCs/>
          <w:sz w:val="22"/>
          <w:szCs w:val="22"/>
        </w:rPr>
        <w:lastRenderedPageBreak/>
        <w:t>Notes:</w:t>
      </w:r>
    </w:p>
    <w:p w14:paraId="4B68D541" w14:textId="77777777" w:rsidR="00B67C56" w:rsidRDefault="00B67C56" w:rsidP="00B67C56">
      <w:pPr>
        <w:pStyle w:val="ListParagraph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</w:p>
    <w:p w14:paraId="2DEC936B" w14:textId="28999AA2" w:rsidR="00B67C56" w:rsidRPr="003532B9" w:rsidRDefault="00B67C56" w:rsidP="007E6E49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3F44616A">
        <w:rPr>
          <w:rFonts w:asciiTheme="majorHAnsi" w:hAnsiTheme="majorHAnsi"/>
          <w:sz w:val="22"/>
          <w:szCs w:val="22"/>
        </w:rPr>
        <w:t>The Board (including via the Audit and Risk Committee) and Management of each Sport</w:t>
      </w:r>
      <w:r w:rsidR="00BB3541">
        <w:rPr>
          <w:rFonts w:asciiTheme="majorHAnsi" w:hAnsiTheme="majorHAnsi"/>
          <w:sz w:val="22"/>
          <w:szCs w:val="22"/>
        </w:rPr>
        <w:t>ing</w:t>
      </w:r>
      <w:r w:rsidRPr="3F44616A">
        <w:rPr>
          <w:rFonts w:asciiTheme="majorHAnsi" w:hAnsiTheme="majorHAnsi"/>
          <w:sz w:val="22"/>
          <w:szCs w:val="22"/>
        </w:rPr>
        <w:t xml:space="preserve"> Organisation must receive a basic level of risk reporting to allow each to properly discharge their duties.</w:t>
      </w:r>
    </w:p>
    <w:p w14:paraId="0B67BC96" w14:textId="7C1CF0D4" w:rsidR="00B67C56" w:rsidRDefault="00B67C56" w:rsidP="00B67C56">
      <w:pPr>
        <w:pStyle w:val="ListParagraph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</w:p>
    <w:p w14:paraId="67E0455D" w14:textId="50B6C2C5" w:rsidR="00B67C56" w:rsidRDefault="00B67C56" w:rsidP="007E6E49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3F44616A">
        <w:rPr>
          <w:rFonts w:asciiTheme="majorHAnsi" w:hAnsiTheme="majorHAnsi"/>
          <w:sz w:val="22"/>
          <w:szCs w:val="22"/>
        </w:rPr>
        <w:t>Regular Board and Management risk reporting should be implemented for all Sport</w:t>
      </w:r>
      <w:r w:rsidR="00BB3541">
        <w:rPr>
          <w:rFonts w:asciiTheme="majorHAnsi" w:hAnsiTheme="majorHAnsi"/>
          <w:sz w:val="22"/>
          <w:szCs w:val="22"/>
        </w:rPr>
        <w:t>ing</w:t>
      </w:r>
      <w:r w:rsidRPr="3F44616A">
        <w:rPr>
          <w:rFonts w:asciiTheme="majorHAnsi" w:hAnsiTheme="majorHAnsi"/>
          <w:sz w:val="22"/>
          <w:szCs w:val="22"/>
        </w:rPr>
        <w:t xml:space="preserve"> Organisations to ensure appropriate reporting on:</w:t>
      </w:r>
    </w:p>
    <w:p w14:paraId="21D1E44B" w14:textId="77777777" w:rsidR="00B67C56" w:rsidRPr="003532B9" w:rsidRDefault="00B67C56" w:rsidP="00B67C56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3532B9">
        <w:rPr>
          <w:rFonts w:asciiTheme="majorHAnsi" w:hAnsiTheme="majorHAnsi"/>
          <w:sz w:val="22"/>
          <w:szCs w:val="22"/>
        </w:rPr>
        <w:t>key risks and relevant information related to those key risks;</w:t>
      </w:r>
    </w:p>
    <w:p w14:paraId="0C2FCD1E" w14:textId="77777777" w:rsidR="00B67C56" w:rsidRPr="003532B9" w:rsidRDefault="00B67C56" w:rsidP="00B67C56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3532B9">
        <w:rPr>
          <w:rFonts w:asciiTheme="majorHAnsi" w:hAnsiTheme="majorHAnsi"/>
          <w:sz w:val="22"/>
          <w:szCs w:val="22"/>
        </w:rPr>
        <w:t xml:space="preserve">movement (i.e., increase or decrease) in the rating of key risks; </w:t>
      </w:r>
    </w:p>
    <w:p w14:paraId="20DCB066" w14:textId="77777777" w:rsidR="00B67C56" w:rsidRPr="003532B9" w:rsidRDefault="00B67C56" w:rsidP="00B67C56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3532B9">
        <w:rPr>
          <w:rFonts w:asciiTheme="majorHAnsi" w:hAnsiTheme="majorHAnsi"/>
          <w:sz w:val="22"/>
          <w:szCs w:val="22"/>
        </w:rPr>
        <w:t xml:space="preserve">details of </w:t>
      </w:r>
      <w:r>
        <w:rPr>
          <w:rFonts w:asciiTheme="majorHAnsi" w:hAnsiTheme="majorHAnsi"/>
          <w:sz w:val="22"/>
          <w:szCs w:val="22"/>
        </w:rPr>
        <w:t xml:space="preserve">adequacy of </w:t>
      </w:r>
      <w:r w:rsidRPr="003532B9">
        <w:rPr>
          <w:rFonts w:asciiTheme="majorHAnsi" w:hAnsiTheme="majorHAnsi"/>
          <w:sz w:val="22"/>
          <w:szCs w:val="22"/>
        </w:rPr>
        <w:t>control / mitigation plans;</w:t>
      </w:r>
    </w:p>
    <w:p w14:paraId="4D67EAE2" w14:textId="77777777" w:rsidR="00B67C56" w:rsidRPr="003532B9" w:rsidRDefault="00B67C56" w:rsidP="00B67C56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3532B9">
        <w:rPr>
          <w:rFonts w:asciiTheme="majorHAnsi" w:hAnsiTheme="majorHAnsi"/>
          <w:sz w:val="22"/>
          <w:szCs w:val="22"/>
        </w:rPr>
        <w:t>issues and breaches arising in the organisation’s management of key risks; and</w:t>
      </w:r>
    </w:p>
    <w:p w14:paraId="26AAB1ED" w14:textId="77777777" w:rsidR="00B67C56" w:rsidRPr="003532B9" w:rsidRDefault="00B67C56" w:rsidP="00B67C56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3532B9">
        <w:rPr>
          <w:rFonts w:asciiTheme="majorHAnsi" w:hAnsiTheme="majorHAnsi"/>
          <w:sz w:val="22"/>
          <w:szCs w:val="22"/>
        </w:rPr>
        <w:t>overall risk management performance over a defined period (e.g., annual) and any proposals for upgrades to the risk management framework, including the organisation’s risk management policy and risk appetite statement.</w:t>
      </w:r>
    </w:p>
    <w:p w14:paraId="3D753505" w14:textId="77777777" w:rsidR="00B67C56" w:rsidRDefault="00B67C56" w:rsidP="00B67C56">
      <w:pPr>
        <w:pStyle w:val="ListParagraph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</w:p>
    <w:p w14:paraId="7D78920F" w14:textId="59A96CAD" w:rsidR="00B67C56" w:rsidRPr="003532B9" w:rsidRDefault="00B67C56" w:rsidP="007E6E49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3F44616A">
        <w:rPr>
          <w:rFonts w:asciiTheme="majorHAnsi" w:hAnsiTheme="majorHAnsi"/>
          <w:sz w:val="22"/>
          <w:szCs w:val="22"/>
        </w:rPr>
        <w:t>As the risk maturity of the S</w:t>
      </w:r>
      <w:r w:rsidR="00BB3541">
        <w:rPr>
          <w:rFonts w:asciiTheme="majorHAnsi" w:hAnsiTheme="majorHAnsi"/>
          <w:sz w:val="22"/>
          <w:szCs w:val="22"/>
        </w:rPr>
        <w:t>O</w:t>
      </w:r>
      <w:r w:rsidRPr="3F44616A">
        <w:rPr>
          <w:rFonts w:asciiTheme="majorHAnsi" w:hAnsiTheme="majorHAnsi"/>
          <w:sz w:val="22"/>
          <w:szCs w:val="22"/>
        </w:rPr>
        <w:t xml:space="preserve"> increases so too </w:t>
      </w:r>
      <w:r w:rsidR="00BB3541">
        <w:rPr>
          <w:rFonts w:asciiTheme="majorHAnsi" w:hAnsiTheme="majorHAnsi"/>
          <w:sz w:val="22"/>
          <w:szCs w:val="22"/>
        </w:rPr>
        <w:t>should</w:t>
      </w:r>
      <w:r w:rsidRPr="3F44616A">
        <w:rPr>
          <w:rFonts w:asciiTheme="majorHAnsi" w:hAnsiTheme="majorHAnsi"/>
          <w:sz w:val="22"/>
          <w:szCs w:val="22"/>
        </w:rPr>
        <w:t xml:space="preserve"> the depth of the risk reporting.</w:t>
      </w:r>
    </w:p>
    <w:p w14:paraId="42DCA563" w14:textId="77777777" w:rsidR="00B67C56" w:rsidRDefault="00B67C56" w:rsidP="00B67C56">
      <w:pPr>
        <w:pStyle w:val="ListParagraph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</w:p>
    <w:p w14:paraId="158835CC" w14:textId="41D2D227" w:rsidR="00B67C56" w:rsidRPr="003532B9" w:rsidRDefault="00B67C56" w:rsidP="007E6E49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3F44616A">
        <w:rPr>
          <w:rFonts w:asciiTheme="majorHAnsi" w:hAnsiTheme="majorHAnsi"/>
          <w:sz w:val="22"/>
          <w:szCs w:val="22"/>
        </w:rPr>
        <w:t>All reports should highlight the key developments in a Sport</w:t>
      </w:r>
      <w:r w:rsidR="00BB3541">
        <w:rPr>
          <w:rFonts w:asciiTheme="majorHAnsi" w:hAnsiTheme="majorHAnsi"/>
          <w:sz w:val="22"/>
          <w:szCs w:val="22"/>
        </w:rPr>
        <w:t>ing</w:t>
      </w:r>
      <w:r w:rsidRPr="3F44616A">
        <w:rPr>
          <w:rFonts w:asciiTheme="majorHAnsi" w:hAnsiTheme="majorHAnsi"/>
          <w:sz w:val="22"/>
          <w:szCs w:val="22"/>
        </w:rPr>
        <w:t xml:space="preserve"> Organisation’s risk profile during the reporting period. These developments can be illustrated using relevant extracts from the Australia</w:t>
      </w:r>
      <w:r w:rsidR="00BB3541">
        <w:rPr>
          <w:rFonts w:asciiTheme="majorHAnsi" w:hAnsiTheme="majorHAnsi"/>
          <w:sz w:val="22"/>
          <w:szCs w:val="22"/>
        </w:rPr>
        <w:t>n Sports Commission</w:t>
      </w:r>
      <w:r w:rsidRPr="3F44616A">
        <w:rPr>
          <w:rFonts w:asciiTheme="majorHAnsi" w:hAnsiTheme="majorHAnsi"/>
          <w:sz w:val="22"/>
          <w:szCs w:val="22"/>
        </w:rPr>
        <w:t xml:space="preserve"> risk tools including risk summary reports and risk movements as contained in the risk register.</w:t>
      </w:r>
    </w:p>
    <w:p w14:paraId="0D4632E9" w14:textId="77777777" w:rsidR="00B67C56" w:rsidRDefault="00B67C56" w:rsidP="00B67C56">
      <w:pPr>
        <w:pStyle w:val="ListParagraph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</w:p>
    <w:p w14:paraId="25849FC3" w14:textId="21F63822" w:rsidR="00B67C56" w:rsidRDefault="00B67C56" w:rsidP="007E6E49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3F44616A">
        <w:rPr>
          <w:rFonts w:asciiTheme="majorHAnsi" w:hAnsiTheme="majorHAnsi"/>
          <w:sz w:val="22"/>
          <w:szCs w:val="22"/>
        </w:rPr>
        <w:t xml:space="preserve">Ultimately it is for the Sport Organisation’s Board to determine what reporting is required as a minimum to discharge its obligation to oversee </w:t>
      </w:r>
      <w:r w:rsidR="00EC6711">
        <w:rPr>
          <w:rFonts w:asciiTheme="majorHAnsi" w:hAnsiTheme="majorHAnsi"/>
          <w:sz w:val="22"/>
          <w:szCs w:val="22"/>
        </w:rPr>
        <w:t>their</w:t>
      </w:r>
      <w:r w:rsidRPr="3F44616A">
        <w:rPr>
          <w:rFonts w:asciiTheme="majorHAnsi" w:hAnsiTheme="majorHAnsi"/>
          <w:sz w:val="22"/>
          <w:szCs w:val="22"/>
        </w:rPr>
        <w:t xml:space="preserve"> risk oversight duties, and what information should be presented within that reporting.</w:t>
      </w:r>
    </w:p>
    <w:p w14:paraId="13DDB43C" w14:textId="77777777" w:rsidR="00B67C56" w:rsidRPr="00B67C56" w:rsidRDefault="00B67C56" w:rsidP="00B67C56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bookmarkEnd w:id="0"/>
    <w:p w14:paraId="41E7849A" w14:textId="69EB7827" w:rsidR="00B67C56" w:rsidRDefault="00B67C56">
      <w:pPr>
        <w:rPr>
          <w:rFonts w:asciiTheme="majorHAnsi" w:hAnsiTheme="majorHAnsi"/>
          <w:b/>
          <w:iCs/>
          <w:sz w:val="28"/>
          <w:szCs w:val="28"/>
          <w:highlight w:val="yellow"/>
        </w:rPr>
      </w:pPr>
      <w:r>
        <w:rPr>
          <w:rFonts w:asciiTheme="majorHAnsi" w:hAnsiTheme="majorHAnsi"/>
          <w:b/>
          <w:iCs/>
          <w:sz w:val="28"/>
          <w:szCs w:val="28"/>
          <w:highlight w:val="yellow"/>
        </w:rPr>
        <w:br w:type="page"/>
      </w:r>
    </w:p>
    <w:p w14:paraId="34980162" w14:textId="30317F32" w:rsidR="00374463" w:rsidRPr="00636730" w:rsidRDefault="00B67C56" w:rsidP="00B67C56">
      <w:pPr>
        <w:rPr>
          <w:rFonts w:asciiTheme="majorHAnsi" w:hAnsiTheme="majorHAnsi"/>
          <w:b/>
          <w:iCs/>
        </w:rPr>
      </w:pPr>
      <w:r w:rsidRPr="00B67C56">
        <w:rPr>
          <w:rFonts w:asciiTheme="majorHAnsi" w:hAnsiTheme="majorHAnsi"/>
          <w:b/>
          <w:iCs/>
          <w:sz w:val="28"/>
          <w:szCs w:val="28"/>
          <w:highlight w:val="yellow"/>
        </w:rPr>
        <w:lastRenderedPageBreak/>
        <w:t>[</w:t>
      </w:r>
      <w:r w:rsidR="00EC6711">
        <w:rPr>
          <w:rFonts w:asciiTheme="majorHAnsi" w:hAnsiTheme="majorHAnsi"/>
          <w:b/>
          <w:iCs/>
          <w:sz w:val="28"/>
          <w:szCs w:val="28"/>
          <w:highlight w:val="yellow"/>
        </w:rPr>
        <w:t xml:space="preserve">Insert </w:t>
      </w:r>
      <w:r w:rsidR="00EA3DD8">
        <w:rPr>
          <w:rFonts w:asciiTheme="majorHAnsi" w:hAnsiTheme="majorHAnsi"/>
          <w:b/>
          <w:iCs/>
          <w:sz w:val="28"/>
          <w:szCs w:val="28"/>
          <w:highlight w:val="yellow"/>
        </w:rPr>
        <w:t>ORGANISATION</w:t>
      </w:r>
      <w:r w:rsidR="00EC6711">
        <w:rPr>
          <w:rFonts w:asciiTheme="majorHAnsi" w:hAnsiTheme="majorHAnsi"/>
          <w:b/>
          <w:iCs/>
          <w:sz w:val="28"/>
          <w:szCs w:val="28"/>
          <w:highlight w:val="yellow"/>
        </w:rPr>
        <w:t xml:space="preserve"> NAME</w:t>
      </w:r>
      <w:r w:rsidRPr="00B67C56">
        <w:rPr>
          <w:rFonts w:asciiTheme="majorHAnsi" w:hAnsiTheme="majorHAnsi"/>
          <w:b/>
          <w:iCs/>
          <w:sz w:val="28"/>
          <w:szCs w:val="28"/>
          <w:highlight w:val="yellow"/>
        </w:rPr>
        <w:t>]</w:t>
      </w:r>
      <w:r w:rsidR="00374463" w:rsidRPr="00636730">
        <w:rPr>
          <w:rFonts w:asciiTheme="majorHAnsi" w:hAnsiTheme="majorHAnsi"/>
          <w:b/>
          <w:iCs/>
          <w:sz w:val="28"/>
          <w:szCs w:val="28"/>
        </w:rPr>
        <w:t xml:space="preserve"> Board </w:t>
      </w:r>
      <w:r w:rsidR="00171A3D">
        <w:rPr>
          <w:rFonts w:asciiTheme="majorHAnsi" w:hAnsiTheme="majorHAnsi"/>
          <w:b/>
          <w:iCs/>
          <w:sz w:val="28"/>
          <w:szCs w:val="28"/>
        </w:rPr>
        <w:t xml:space="preserve">Risk </w:t>
      </w:r>
      <w:r w:rsidR="00374463" w:rsidRPr="00636730">
        <w:rPr>
          <w:rFonts w:asciiTheme="majorHAnsi" w:hAnsiTheme="majorHAnsi"/>
          <w:b/>
          <w:iCs/>
          <w:sz w:val="28"/>
          <w:szCs w:val="28"/>
        </w:rPr>
        <w:t>Report</w:t>
      </w:r>
      <w:r w:rsidR="00947BE6">
        <w:rPr>
          <w:rFonts w:asciiTheme="majorHAnsi" w:hAnsiTheme="majorHAnsi"/>
          <w:b/>
          <w:iCs/>
          <w:sz w:val="28"/>
          <w:szCs w:val="28"/>
        </w:rPr>
        <w:t>ing</w:t>
      </w:r>
      <w:r w:rsidR="00636730">
        <w:rPr>
          <w:rFonts w:asciiTheme="majorHAnsi" w:hAnsiTheme="majorHAnsi"/>
          <w:b/>
          <w:iCs/>
          <w:sz w:val="28"/>
          <w:szCs w:val="28"/>
        </w:rPr>
        <w:t xml:space="preserve"> </w:t>
      </w:r>
    </w:p>
    <w:p w14:paraId="4679EB9C" w14:textId="392644AB" w:rsidR="00374463" w:rsidRDefault="00374463">
      <w:pPr>
        <w:rPr>
          <w:rFonts w:asciiTheme="majorHAnsi" w:hAnsiTheme="majorHAnsi"/>
        </w:rPr>
      </w:pPr>
    </w:p>
    <w:p w14:paraId="5BC640F5" w14:textId="6507D187" w:rsidR="00B67C56" w:rsidRDefault="00B67C56" w:rsidP="00E727FD">
      <w:pPr>
        <w:spacing w:after="240"/>
        <w:rPr>
          <w:rFonts w:asciiTheme="majorHAnsi" w:hAnsiTheme="majorHAnsi"/>
          <w:b/>
          <w:bCs/>
          <w:sz w:val="22"/>
          <w:szCs w:val="22"/>
        </w:rPr>
      </w:pPr>
      <w:r w:rsidRPr="00FE7BC0">
        <w:rPr>
          <w:rFonts w:asciiTheme="majorHAnsi" w:hAnsiTheme="majorHAnsi"/>
          <w:b/>
          <w:bCs/>
          <w:sz w:val="22"/>
          <w:szCs w:val="22"/>
          <w:highlight w:val="yellow"/>
        </w:rPr>
        <w:t>[</w:t>
      </w:r>
      <w:r w:rsidR="00EA3DD8">
        <w:rPr>
          <w:rFonts w:asciiTheme="majorHAnsi" w:hAnsiTheme="majorHAnsi"/>
          <w:b/>
          <w:bCs/>
          <w:sz w:val="22"/>
          <w:szCs w:val="22"/>
          <w:highlight w:val="yellow"/>
        </w:rPr>
        <w:t>ORGANISATION</w:t>
      </w:r>
      <w:r w:rsidRPr="00FE7BC0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to review and determine appropriate reporting</w:t>
      </w:r>
      <w:r w:rsidR="00FE7BC0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for its own organisational circumstances</w:t>
      </w:r>
      <w:r w:rsidR="00FE7BC0" w:rsidRPr="00FE7BC0">
        <w:rPr>
          <w:rFonts w:asciiTheme="majorHAnsi" w:hAnsiTheme="majorHAnsi"/>
          <w:b/>
          <w:bCs/>
          <w:sz w:val="22"/>
          <w:szCs w:val="22"/>
          <w:highlight w:val="yellow"/>
        </w:rPr>
        <w:t>]</w:t>
      </w:r>
    </w:p>
    <w:p w14:paraId="25F5CC8C" w14:textId="1CCF679A" w:rsidR="00ED1A28" w:rsidRPr="00E209A0" w:rsidRDefault="00E209A0" w:rsidP="00E727FD">
      <w:pPr>
        <w:spacing w:after="240"/>
        <w:rPr>
          <w:rFonts w:asciiTheme="majorHAnsi" w:hAnsiTheme="majorHAnsi"/>
          <w:b/>
          <w:bCs/>
          <w:sz w:val="22"/>
          <w:szCs w:val="22"/>
        </w:rPr>
      </w:pPr>
      <w:r w:rsidRPr="00E209A0">
        <w:rPr>
          <w:rFonts w:asciiTheme="majorHAnsi" w:hAnsiTheme="majorHAnsi"/>
          <w:b/>
          <w:bCs/>
          <w:sz w:val="22"/>
          <w:szCs w:val="22"/>
        </w:rPr>
        <w:t>Item 1: Risk Update</w:t>
      </w:r>
    </w:p>
    <w:p w14:paraId="41BCE6F6" w14:textId="192C5434" w:rsidR="00E209A0" w:rsidRPr="00E727FD" w:rsidRDefault="001B25AB" w:rsidP="00CE0932">
      <w:pPr>
        <w:spacing w:after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Sporting Organisation’s </w:t>
      </w:r>
      <w:r w:rsidR="0007489C">
        <w:rPr>
          <w:rFonts w:asciiTheme="majorHAnsi" w:hAnsiTheme="majorHAnsi"/>
          <w:sz w:val="22"/>
          <w:szCs w:val="22"/>
        </w:rPr>
        <w:t xml:space="preserve">Management may provide extracts from the organisational risk register to </w:t>
      </w:r>
      <w:r w:rsidR="00C80D3A">
        <w:rPr>
          <w:rFonts w:asciiTheme="majorHAnsi" w:hAnsiTheme="majorHAnsi"/>
          <w:sz w:val="22"/>
          <w:szCs w:val="22"/>
        </w:rPr>
        <w:t xml:space="preserve">provide an update on material organisational risks. </w:t>
      </w:r>
    </w:p>
    <w:p w14:paraId="34D21C67" w14:textId="7B987C12" w:rsidR="00FE7BC0" w:rsidRPr="00FE7BC0" w:rsidRDefault="00633F60" w:rsidP="00FE7BC0">
      <w:pPr>
        <w:jc w:val="center"/>
        <w:rPr>
          <w:rFonts w:asciiTheme="majorHAnsi" w:hAnsiTheme="majorHAnsi"/>
        </w:rPr>
      </w:pPr>
      <w:r w:rsidRPr="00633F60">
        <w:rPr>
          <w:rFonts w:asciiTheme="majorHAnsi" w:hAnsiTheme="majorHAnsi"/>
          <w:noProof/>
          <w:lang w:val="en-US"/>
        </w:rPr>
        <w:drawing>
          <wp:inline distT="0" distB="0" distL="0" distR="0" wp14:anchorId="5552744C" wp14:editId="3E85B749">
            <wp:extent cx="5864225" cy="328295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FBD1" w14:textId="77777777" w:rsidR="00FE7BC0" w:rsidRDefault="00FE7BC0" w:rsidP="00FE7BC0">
      <w:pPr>
        <w:rPr>
          <w:rFonts w:asciiTheme="majorHAnsi" w:hAnsiTheme="majorHAnsi"/>
          <w:b/>
          <w:bCs/>
          <w:sz w:val="22"/>
          <w:szCs w:val="22"/>
        </w:rPr>
      </w:pPr>
    </w:p>
    <w:p w14:paraId="58ED105F" w14:textId="23DCCAE2" w:rsidR="004F6905" w:rsidRPr="00256838" w:rsidRDefault="004F6905" w:rsidP="004F6905">
      <w:pPr>
        <w:spacing w:after="240"/>
        <w:rPr>
          <w:rFonts w:asciiTheme="majorHAnsi" w:hAnsiTheme="majorHAnsi"/>
          <w:b/>
          <w:bCs/>
          <w:sz w:val="22"/>
          <w:szCs w:val="22"/>
        </w:rPr>
      </w:pPr>
      <w:r w:rsidRPr="00256838">
        <w:rPr>
          <w:rFonts w:asciiTheme="majorHAnsi" w:hAnsiTheme="majorHAnsi"/>
          <w:b/>
          <w:bCs/>
          <w:sz w:val="22"/>
          <w:szCs w:val="22"/>
        </w:rPr>
        <w:t xml:space="preserve">Item 2: </w:t>
      </w:r>
      <w:r w:rsidR="00553B67">
        <w:rPr>
          <w:rFonts w:asciiTheme="majorHAnsi" w:hAnsiTheme="majorHAnsi"/>
          <w:b/>
          <w:bCs/>
          <w:sz w:val="22"/>
          <w:szCs w:val="22"/>
        </w:rPr>
        <w:t xml:space="preserve">Risk </w:t>
      </w:r>
      <w:r w:rsidR="0047566C">
        <w:rPr>
          <w:rFonts w:asciiTheme="majorHAnsi" w:hAnsiTheme="majorHAnsi"/>
          <w:b/>
          <w:bCs/>
          <w:sz w:val="22"/>
          <w:szCs w:val="22"/>
        </w:rPr>
        <w:t xml:space="preserve">Rating </w:t>
      </w:r>
      <w:r w:rsidR="00553B67">
        <w:rPr>
          <w:rFonts w:asciiTheme="majorHAnsi" w:hAnsiTheme="majorHAnsi"/>
          <w:b/>
          <w:bCs/>
          <w:sz w:val="22"/>
          <w:szCs w:val="22"/>
        </w:rPr>
        <w:t>Movements</w:t>
      </w:r>
    </w:p>
    <w:p w14:paraId="7ED393B3" w14:textId="70912DE0" w:rsidR="00F0732A" w:rsidRPr="00256838" w:rsidRDefault="001B25AB" w:rsidP="00CE0932">
      <w:pPr>
        <w:spacing w:after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Sporting Organisation’s</w:t>
      </w:r>
      <w:r w:rsidR="00043F17">
        <w:rPr>
          <w:rFonts w:asciiTheme="majorHAnsi" w:hAnsiTheme="majorHAnsi"/>
          <w:sz w:val="22"/>
          <w:szCs w:val="22"/>
        </w:rPr>
        <w:t xml:space="preserve"> management may provide a “</w:t>
      </w:r>
      <w:r w:rsidR="00F0732A" w:rsidRPr="00256838">
        <w:rPr>
          <w:rFonts w:asciiTheme="majorHAnsi" w:hAnsiTheme="majorHAnsi"/>
          <w:sz w:val="22"/>
          <w:szCs w:val="22"/>
        </w:rPr>
        <w:t>Heat Map</w:t>
      </w:r>
      <w:r w:rsidR="00043F17">
        <w:rPr>
          <w:rFonts w:asciiTheme="majorHAnsi" w:hAnsiTheme="majorHAnsi"/>
          <w:sz w:val="22"/>
          <w:szCs w:val="22"/>
        </w:rPr>
        <w:t>”</w:t>
      </w:r>
      <w:r w:rsidR="00F0732A" w:rsidRPr="00256838">
        <w:rPr>
          <w:rFonts w:asciiTheme="majorHAnsi" w:hAnsiTheme="majorHAnsi"/>
          <w:sz w:val="22"/>
          <w:szCs w:val="22"/>
        </w:rPr>
        <w:t xml:space="preserve"> </w:t>
      </w:r>
      <w:r w:rsidR="00043F17">
        <w:rPr>
          <w:rFonts w:asciiTheme="majorHAnsi" w:hAnsiTheme="majorHAnsi"/>
          <w:sz w:val="22"/>
          <w:szCs w:val="22"/>
        </w:rPr>
        <w:t xml:space="preserve">to </w:t>
      </w:r>
      <w:r w:rsidR="00F0732A" w:rsidRPr="00256838">
        <w:rPr>
          <w:rFonts w:asciiTheme="majorHAnsi" w:hAnsiTheme="majorHAnsi"/>
          <w:sz w:val="22"/>
          <w:szCs w:val="22"/>
        </w:rPr>
        <w:t xml:space="preserve">show the distribution of </w:t>
      </w:r>
      <w:r w:rsidR="00241E09">
        <w:rPr>
          <w:rFonts w:asciiTheme="majorHAnsi" w:hAnsiTheme="majorHAnsi"/>
          <w:sz w:val="22"/>
          <w:szCs w:val="22"/>
        </w:rPr>
        <w:t xml:space="preserve">material </w:t>
      </w:r>
      <w:r w:rsidR="00043F17">
        <w:rPr>
          <w:rFonts w:asciiTheme="majorHAnsi" w:hAnsiTheme="majorHAnsi"/>
          <w:sz w:val="22"/>
          <w:szCs w:val="22"/>
        </w:rPr>
        <w:t xml:space="preserve">organisational </w:t>
      </w:r>
      <w:r w:rsidR="00F0732A" w:rsidRPr="00256838">
        <w:rPr>
          <w:rFonts w:asciiTheme="majorHAnsi" w:hAnsiTheme="majorHAnsi"/>
          <w:sz w:val="22"/>
          <w:szCs w:val="22"/>
        </w:rPr>
        <w:t xml:space="preserve">risks across its risk matrix, including the movement of certain risks during the reporting period. </w:t>
      </w:r>
    </w:p>
    <w:p w14:paraId="530F6303" w14:textId="1EAC2F62" w:rsidR="00F0732A" w:rsidRDefault="00B36243" w:rsidP="00ED5CC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476B6909" wp14:editId="11AB40C7">
            <wp:extent cx="5864225" cy="1639995"/>
            <wp:effectExtent l="0" t="0" r="317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16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C900D" w14:textId="77777777" w:rsidR="00FE7BC0" w:rsidRDefault="00FE7BC0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3540BA05" w14:textId="454C7836" w:rsidR="00622527" w:rsidRPr="00167B62" w:rsidRDefault="00622527" w:rsidP="00622527">
      <w:pPr>
        <w:spacing w:after="240"/>
        <w:rPr>
          <w:rFonts w:asciiTheme="majorHAnsi" w:hAnsiTheme="majorHAnsi"/>
          <w:b/>
          <w:bCs/>
          <w:sz w:val="22"/>
          <w:szCs w:val="22"/>
        </w:rPr>
      </w:pPr>
      <w:r w:rsidRPr="00167B62">
        <w:rPr>
          <w:rFonts w:asciiTheme="majorHAnsi" w:hAnsiTheme="majorHAnsi"/>
          <w:b/>
          <w:bCs/>
          <w:sz w:val="22"/>
          <w:szCs w:val="22"/>
        </w:rPr>
        <w:lastRenderedPageBreak/>
        <w:t xml:space="preserve">Item 3: </w:t>
      </w:r>
      <w:r w:rsidR="00167B62" w:rsidRPr="00167B62">
        <w:rPr>
          <w:rFonts w:asciiTheme="majorHAnsi" w:hAnsiTheme="majorHAnsi"/>
          <w:b/>
          <w:bCs/>
          <w:sz w:val="22"/>
          <w:szCs w:val="22"/>
        </w:rPr>
        <w:t>Detailed Risk Reports</w:t>
      </w:r>
    </w:p>
    <w:p w14:paraId="67FA9052" w14:textId="1551DA6F" w:rsidR="00F0732A" w:rsidRPr="00622527" w:rsidRDefault="001B25AB" w:rsidP="00CE0932">
      <w:pPr>
        <w:spacing w:after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Sporting Organisation’s </w:t>
      </w:r>
      <w:r w:rsidR="000F5DDD">
        <w:rPr>
          <w:rFonts w:asciiTheme="majorHAnsi" w:hAnsiTheme="majorHAnsi"/>
          <w:sz w:val="22"/>
          <w:szCs w:val="22"/>
        </w:rPr>
        <w:t xml:space="preserve">Management can use the </w:t>
      </w:r>
      <w:r w:rsidR="00F0732A" w:rsidRPr="00622527">
        <w:rPr>
          <w:rFonts w:asciiTheme="majorHAnsi" w:hAnsiTheme="majorHAnsi"/>
          <w:sz w:val="22"/>
          <w:szCs w:val="22"/>
        </w:rPr>
        <w:t xml:space="preserve">following </w:t>
      </w:r>
      <w:r w:rsidR="000F5DDD">
        <w:rPr>
          <w:rFonts w:asciiTheme="majorHAnsi" w:hAnsiTheme="majorHAnsi"/>
          <w:sz w:val="22"/>
          <w:szCs w:val="22"/>
        </w:rPr>
        <w:t>“</w:t>
      </w:r>
      <w:r w:rsidR="00F0732A" w:rsidRPr="00622527">
        <w:rPr>
          <w:rFonts w:asciiTheme="majorHAnsi" w:hAnsiTheme="majorHAnsi"/>
          <w:sz w:val="22"/>
          <w:szCs w:val="22"/>
        </w:rPr>
        <w:t>Risk on a Page</w:t>
      </w:r>
      <w:r w:rsidR="000F5DDD">
        <w:rPr>
          <w:rFonts w:asciiTheme="majorHAnsi" w:hAnsiTheme="majorHAnsi"/>
          <w:sz w:val="22"/>
          <w:szCs w:val="22"/>
        </w:rPr>
        <w:t xml:space="preserve">” </w:t>
      </w:r>
      <w:r w:rsidR="00F0732A" w:rsidRPr="00622527">
        <w:rPr>
          <w:rFonts w:asciiTheme="majorHAnsi" w:hAnsiTheme="majorHAnsi"/>
          <w:sz w:val="22"/>
          <w:szCs w:val="22"/>
        </w:rPr>
        <w:t>report</w:t>
      </w:r>
      <w:r w:rsidR="000F5DDD">
        <w:rPr>
          <w:rFonts w:asciiTheme="majorHAnsi" w:hAnsiTheme="majorHAnsi"/>
          <w:sz w:val="22"/>
          <w:szCs w:val="22"/>
        </w:rPr>
        <w:t xml:space="preserve"> to</w:t>
      </w:r>
      <w:r w:rsidR="00F0732A" w:rsidRPr="00622527">
        <w:rPr>
          <w:rFonts w:asciiTheme="majorHAnsi" w:hAnsiTheme="majorHAnsi"/>
          <w:sz w:val="22"/>
          <w:szCs w:val="22"/>
        </w:rPr>
        <w:t xml:space="preserve"> provide additional detail regarding </w:t>
      </w:r>
      <w:r w:rsidR="00E069A0">
        <w:rPr>
          <w:rFonts w:asciiTheme="majorHAnsi" w:hAnsiTheme="majorHAnsi"/>
          <w:sz w:val="22"/>
          <w:szCs w:val="22"/>
        </w:rPr>
        <w:t>material organisational risks such as th</w:t>
      </w:r>
      <w:r w:rsidR="001B606E">
        <w:rPr>
          <w:rFonts w:asciiTheme="majorHAnsi" w:hAnsiTheme="majorHAnsi"/>
          <w:sz w:val="22"/>
          <w:szCs w:val="22"/>
        </w:rPr>
        <w:t xml:space="preserve">ose rated by the </w:t>
      </w:r>
      <w:r w:rsidR="004B28DE">
        <w:rPr>
          <w:rFonts w:asciiTheme="majorHAnsi" w:hAnsiTheme="majorHAnsi"/>
          <w:sz w:val="22"/>
          <w:szCs w:val="22"/>
        </w:rPr>
        <w:t>Sporting Organisation</w:t>
      </w:r>
      <w:r w:rsidR="001B606E">
        <w:rPr>
          <w:rFonts w:asciiTheme="majorHAnsi" w:hAnsiTheme="majorHAnsi"/>
          <w:sz w:val="22"/>
          <w:szCs w:val="22"/>
        </w:rPr>
        <w:t xml:space="preserve"> as</w:t>
      </w:r>
      <w:r w:rsidR="00F0732A" w:rsidRPr="00622527">
        <w:rPr>
          <w:rFonts w:asciiTheme="majorHAnsi" w:hAnsiTheme="majorHAnsi"/>
          <w:sz w:val="22"/>
          <w:szCs w:val="22"/>
        </w:rPr>
        <w:t xml:space="preserve"> </w:t>
      </w:r>
      <w:r w:rsidR="001A2758">
        <w:rPr>
          <w:rFonts w:asciiTheme="majorHAnsi" w:hAnsiTheme="majorHAnsi"/>
          <w:sz w:val="22"/>
          <w:szCs w:val="22"/>
        </w:rPr>
        <w:t>“</w:t>
      </w:r>
      <w:r w:rsidR="00F0732A" w:rsidRPr="00622527">
        <w:rPr>
          <w:rFonts w:asciiTheme="majorHAnsi" w:hAnsiTheme="majorHAnsi"/>
          <w:sz w:val="22"/>
          <w:szCs w:val="22"/>
        </w:rPr>
        <w:t>High</w:t>
      </w:r>
      <w:r w:rsidR="001A2758">
        <w:rPr>
          <w:rFonts w:asciiTheme="majorHAnsi" w:hAnsiTheme="majorHAnsi"/>
          <w:sz w:val="22"/>
          <w:szCs w:val="22"/>
        </w:rPr>
        <w:t>”</w:t>
      </w:r>
      <w:r w:rsidR="00F0732A" w:rsidRPr="00622527">
        <w:rPr>
          <w:rFonts w:asciiTheme="majorHAnsi" w:hAnsiTheme="majorHAnsi"/>
          <w:sz w:val="22"/>
          <w:szCs w:val="22"/>
        </w:rPr>
        <w:t xml:space="preserve"> and </w:t>
      </w:r>
      <w:r w:rsidR="001A2758">
        <w:rPr>
          <w:rFonts w:asciiTheme="majorHAnsi" w:hAnsiTheme="majorHAnsi"/>
          <w:sz w:val="22"/>
          <w:szCs w:val="22"/>
        </w:rPr>
        <w:t>“</w:t>
      </w:r>
      <w:r w:rsidR="00F0732A" w:rsidRPr="00622527">
        <w:rPr>
          <w:rFonts w:asciiTheme="majorHAnsi" w:hAnsiTheme="majorHAnsi"/>
          <w:sz w:val="22"/>
          <w:szCs w:val="22"/>
        </w:rPr>
        <w:t>Extreme</w:t>
      </w:r>
      <w:r w:rsidR="001A2758">
        <w:rPr>
          <w:rFonts w:asciiTheme="majorHAnsi" w:hAnsiTheme="majorHAnsi"/>
          <w:sz w:val="22"/>
          <w:szCs w:val="22"/>
        </w:rPr>
        <w:t>”</w:t>
      </w:r>
      <w:r w:rsidR="00F0732A" w:rsidRPr="00622527">
        <w:rPr>
          <w:rFonts w:asciiTheme="majorHAnsi" w:hAnsiTheme="majorHAnsi"/>
          <w:sz w:val="22"/>
          <w:szCs w:val="22"/>
        </w:rPr>
        <w:t xml:space="preserve">. </w:t>
      </w:r>
    </w:p>
    <w:p w14:paraId="127F9918" w14:textId="411C4060" w:rsidR="00F0732A" w:rsidRDefault="004F0459" w:rsidP="001676EC">
      <w:pPr>
        <w:spacing w:after="240"/>
        <w:jc w:val="center"/>
        <w:rPr>
          <w:rFonts w:asciiTheme="majorHAnsi" w:hAnsiTheme="majorHAnsi"/>
          <w:sz w:val="22"/>
          <w:szCs w:val="22"/>
        </w:rPr>
      </w:pPr>
      <w:r w:rsidRPr="004F0459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082BE32A" wp14:editId="41DEFD0B">
            <wp:extent cx="5481371" cy="579120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45" cy="57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E736C" w14:textId="7543B7D2" w:rsidR="00854AB4" w:rsidRPr="00152008" w:rsidRDefault="00763529" w:rsidP="00FE7BC0">
      <w:pPr>
        <w:snapToGrid w:val="0"/>
        <w:spacing w:after="240"/>
        <w:jc w:val="both"/>
        <w:rPr>
          <w:rFonts w:asciiTheme="majorHAnsi" w:hAnsiTheme="majorHAnsi"/>
          <w:b/>
          <w:bCs/>
          <w:sz w:val="22"/>
          <w:szCs w:val="22"/>
        </w:rPr>
      </w:pPr>
      <w:r w:rsidRPr="00152008">
        <w:rPr>
          <w:rFonts w:asciiTheme="majorHAnsi" w:hAnsiTheme="majorHAnsi"/>
          <w:b/>
          <w:bCs/>
          <w:sz w:val="22"/>
          <w:szCs w:val="22"/>
        </w:rPr>
        <w:t>Item 4:</w:t>
      </w:r>
      <w:r w:rsidR="004920AF" w:rsidRPr="0015200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52008" w:rsidRPr="00152008">
        <w:rPr>
          <w:rFonts w:asciiTheme="majorHAnsi" w:hAnsiTheme="majorHAnsi"/>
          <w:b/>
          <w:bCs/>
          <w:sz w:val="22"/>
          <w:szCs w:val="22"/>
        </w:rPr>
        <w:t>Reporting Review</w:t>
      </w:r>
    </w:p>
    <w:p w14:paraId="75CADCC9" w14:textId="6B914431" w:rsidR="00763529" w:rsidRPr="00763529" w:rsidRDefault="00763529" w:rsidP="00763529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763529">
        <w:rPr>
          <w:rFonts w:ascii="Calibri" w:eastAsia="MS Mincho" w:hAnsi="Calibri" w:cs="Times New Roman"/>
          <w:sz w:val="22"/>
          <w:szCs w:val="22"/>
        </w:rPr>
        <w:t xml:space="preserve">The Risk Management </w:t>
      </w:r>
      <w:r w:rsidR="00152008">
        <w:rPr>
          <w:rFonts w:ascii="Calibri" w:eastAsia="MS Mincho" w:hAnsi="Calibri" w:cs="Times New Roman"/>
          <w:sz w:val="22"/>
          <w:szCs w:val="22"/>
        </w:rPr>
        <w:t>r</w:t>
      </w:r>
      <w:r w:rsidRPr="00763529">
        <w:rPr>
          <w:rFonts w:ascii="Calibri" w:eastAsia="MS Mincho" w:hAnsi="Calibri" w:cs="Times New Roman"/>
          <w:sz w:val="22"/>
          <w:szCs w:val="22"/>
        </w:rPr>
        <w:t xml:space="preserve">eporting </w:t>
      </w:r>
      <w:r w:rsidR="00152008">
        <w:rPr>
          <w:rFonts w:ascii="Calibri" w:eastAsia="MS Mincho" w:hAnsi="Calibri" w:cs="Times New Roman"/>
          <w:sz w:val="22"/>
          <w:szCs w:val="22"/>
        </w:rPr>
        <w:t>f</w:t>
      </w:r>
      <w:r w:rsidRPr="00763529">
        <w:rPr>
          <w:rFonts w:ascii="Calibri" w:eastAsia="MS Mincho" w:hAnsi="Calibri" w:cs="Times New Roman"/>
          <w:sz w:val="22"/>
          <w:szCs w:val="22"/>
        </w:rPr>
        <w:t xml:space="preserve">ramework and report templates </w:t>
      </w:r>
      <w:r w:rsidR="00475466">
        <w:rPr>
          <w:rFonts w:ascii="Calibri" w:eastAsia="MS Mincho" w:hAnsi="Calibri" w:cs="Times New Roman"/>
          <w:sz w:val="22"/>
          <w:szCs w:val="22"/>
        </w:rPr>
        <w:t xml:space="preserve">should </w:t>
      </w:r>
      <w:r w:rsidRPr="00763529">
        <w:rPr>
          <w:rFonts w:ascii="Calibri" w:eastAsia="MS Mincho" w:hAnsi="Calibri" w:cs="Times New Roman"/>
          <w:sz w:val="22"/>
          <w:szCs w:val="22"/>
        </w:rPr>
        <w:t xml:space="preserve">be reviewed </w:t>
      </w:r>
      <w:r w:rsidR="00475466">
        <w:rPr>
          <w:rFonts w:ascii="Calibri" w:eastAsia="MS Mincho" w:hAnsi="Calibri" w:cs="Times New Roman"/>
          <w:sz w:val="22"/>
          <w:szCs w:val="22"/>
        </w:rPr>
        <w:t xml:space="preserve">and approved </w:t>
      </w:r>
      <w:r w:rsidRPr="00763529">
        <w:rPr>
          <w:rFonts w:ascii="Calibri" w:eastAsia="MS Mincho" w:hAnsi="Calibri" w:cs="Times New Roman"/>
          <w:sz w:val="22"/>
          <w:szCs w:val="22"/>
        </w:rPr>
        <w:t xml:space="preserve">annually by the </w:t>
      </w:r>
      <w:r w:rsidR="00475466" w:rsidRPr="00475466">
        <w:rPr>
          <w:rFonts w:ascii="Calibri" w:eastAsia="MS Mincho" w:hAnsi="Calibri" w:cs="Times New Roman"/>
          <w:sz w:val="22"/>
          <w:szCs w:val="22"/>
          <w:highlight w:val="yellow"/>
        </w:rPr>
        <w:t>[</w:t>
      </w:r>
      <w:r w:rsidRPr="00475466">
        <w:rPr>
          <w:rFonts w:ascii="Calibri" w:eastAsia="MS Mincho" w:hAnsi="Calibri" w:cs="Times New Roman"/>
          <w:sz w:val="22"/>
          <w:szCs w:val="22"/>
          <w:highlight w:val="yellow"/>
        </w:rPr>
        <w:t>Audit and Risk Committee and</w:t>
      </w:r>
      <w:r w:rsidR="00475466" w:rsidRPr="00475466">
        <w:rPr>
          <w:rFonts w:ascii="Calibri" w:eastAsia="MS Mincho" w:hAnsi="Calibri" w:cs="Times New Roman"/>
          <w:sz w:val="22"/>
          <w:szCs w:val="22"/>
          <w:highlight w:val="yellow"/>
        </w:rPr>
        <w:t>]</w:t>
      </w:r>
      <w:r w:rsidRPr="00763529">
        <w:rPr>
          <w:rFonts w:ascii="Calibri" w:eastAsia="MS Mincho" w:hAnsi="Calibri" w:cs="Times New Roman"/>
          <w:sz w:val="22"/>
          <w:szCs w:val="22"/>
        </w:rPr>
        <w:t xml:space="preserve"> </w:t>
      </w:r>
      <w:r w:rsidR="007E6E49">
        <w:rPr>
          <w:rFonts w:ascii="Calibri" w:eastAsia="MS Mincho" w:hAnsi="Calibri" w:cs="Times New Roman"/>
          <w:sz w:val="22"/>
          <w:szCs w:val="22"/>
        </w:rPr>
        <w:t xml:space="preserve">the </w:t>
      </w:r>
      <w:r w:rsidRPr="00763529">
        <w:rPr>
          <w:rFonts w:ascii="Calibri" w:eastAsia="MS Mincho" w:hAnsi="Calibri" w:cs="Times New Roman"/>
          <w:sz w:val="22"/>
          <w:szCs w:val="22"/>
        </w:rPr>
        <w:t>Board</w:t>
      </w:r>
      <w:r>
        <w:rPr>
          <w:rFonts w:ascii="Calibri" w:eastAsia="MS Mincho" w:hAnsi="Calibri" w:cs="Times New Roman"/>
          <w:sz w:val="22"/>
          <w:szCs w:val="22"/>
        </w:rPr>
        <w:t>.</w:t>
      </w:r>
    </w:p>
    <w:sectPr w:rsidR="00763529" w:rsidRPr="00763529" w:rsidSect="00C7263B">
      <w:headerReference w:type="even" r:id="rId15"/>
      <w:headerReference w:type="default" r:id="rId16"/>
      <w:headerReference w:type="first" r:id="rId17"/>
      <w:pgSz w:w="11900" w:h="16840"/>
      <w:pgMar w:top="1134" w:right="136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8B63" w14:textId="77777777" w:rsidR="000D765F" w:rsidRDefault="000D765F" w:rsidP="00636730">
      <w:r>
        <w:separator/>
      </w:r>
    </w:p>
  </w:endnote>
  <w:endnote w:type="continuationSeparator" w:id="0">
    <w:p w14:paraId="3ADFF7C0" w14:textId="77777777" w:rsidR="000D765F" w:rsidRDefault="000D765F" w:rsidP="00636730">
      <w:r>
        <w:continuationSeparator/>
      </w:r>
    </w:p>
  </w:endnote>
  <w:endnote w:type="continuationNotice" w:id="1">
    <w:p w14:paraId="0094E11D" w14:textId="77777777" w:rsidR="000D765F" w:rsidRDefault="000D7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AAF4" w14:textId="77777777" w:rsidR="000D765F" w:rsidRDefault="000D765F" w:rsidP="00636730">
      <w:r>
        <w:separator/>
      </w:r>
    </w:p>
  </w:footnote>
  <w:footnote w:type="continuationSeparator" w:id="0">
    <w:p w14:paraId="66FE7298" w14:textId="77777777" w:rsidR="000D765F" w:rsidRDefault="000D765F" w:rsidP="00636730">
      <w:r>
        <w:continuationSeparator/>
      </w:r>
    </w:p>
  </w:footnote>
  <w:footnote w:type="continuationNotice" w:id="1">
    <w:p w14:paraId="0B4D3CC8" w14:textId="77777777" w:rsidR="000D765F" w:rsidRDefault="000D76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967" w14:textId="1434F234" w:rsidR="00B84E07" w:rsidRDefault="007E6E49">
    <w:pPr>
      <w:pStyle w:val="Header"/>
    </w:pPr>
    <w:r>
      <w:rPr>
        <w:noProof/>
      </w:rPr>
      <w:pict w14:anchorId="7E5815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455219" o:spid="_x0000_s1027" type="#_x0000_t136" alt="" style="position:absolute;margin-left:0;margin-top:0;width:406.9pt;height:244.1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6320" w14:textId="69558294" w:rsidR="00B84E07" w:rsidRDefault="007E6E49">
    <w:pPr>
      <w:pStyle w:val="Header"/>
    </w:pPr>
    <w:r>
      <w:rPr>
        <w:noProof/>
      </w:rPr>
      <w:pict w14:anchorId="43E5FE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455220" o:spid="_x0000_s1026" type="#_x0000_t136" alt="" style="position:absolute;margin-left:0;margin-top:0;width:406.9pt;height:244.1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8298" w14:textId="09BB7040" w:rsidR="00B84E07" w:rsidRDefault="007E6E49">
    <w:pPr>
      <w:pStyle w:val="Header"/>
    </w:pPr>
    <w:r>
      <w:rPr>
        <w:noProof/>
      </w:rPr>
      <w:pict w14:anchorId="6DF922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455218" o:spid="_x0000_s1025" type="#_x0000_t136" alt="" style="position:absolute;margin-left:0;margin-top:0;width:406.9pt;height:244.1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7D6"/>
    <w:multiLevelType w:val="hybridMultilevel"/>
    <w:tmpl w:val="A73C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688"/>
    <w:multiLevelType w:val="hybridMultilevel"/>
    <w:tmpl w:val="31DE5B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1286F"/>
    <w:multiLevelType w:val="hybridMultilevel"/>
    <w:tmpl w:val="31DE5B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023083">
    <w:abstractNumId w:val="0"/>
  </w:num>
  <w:num w:numId="2" w16cid:durableId="838232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222335">
    <w:abstractNumId w:val="1"/>
  </w:num>
  <w:num w:numId="4" w16cid:durableId="1424494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63"/>
    <w:rsid w:val="00043F17"/>
    <w:rsid w:val="00066EE5"/>
    <w:rsid w:val="0007489C"/>
    <w:rsid w:val="000D765F"/>
    <w:rsid w:val="000F5DDD"/>
    <w:rsid w:val="00105506"/>
    <w:rsid w:val="00152008"/>
    <w:rsid w:val="00163F63"/>
    <w:rsid w:val="00164D93"/>
    <w:rsid w:val="001676EC"/>
    <w:rsid w:val="00167B62"/>
    <w:rsid w:val="00171A3D"/>
    <w:rsid w:val="0017588B"/>
    <w:rsid w:val="001A2758"/>
    <w:rsid w:val="001B25AB"/>
    <w:rsid w:val="001B606E"/>
    <w:rsid w:val="00241E09"/>
    <w:rsid w:val="002471D9"/>
    <w:rsid w:val="00252F89"/>
    <w:rsid w:val="00256838"/>
    <w:rsid w:val="002E5BE0"/>
    <w:rsid w:val="003532B9"/>
    <w:rsid w:val="00374463"/>
    <w:rsid w:val="003C11D6"/>
    <w:rsid w:val="003F1D07"/>
    <w:rsid w:val="004329BF"/>
    <w:rsid w:val="00447BB1"/>
    <w:rsid w:val="00470238"/>
    <w:rsid w:val="00475466"/>
    <w:rsid w:val="0047566C"/>
    <w:rsid w:val="004920AF"/>
    <w:rsid w:val="004B28DE"/>
    <w:rsid w:val="004D0F07"/>
    <w:rsid w:val="004F0459"/>
    <w:rsid w:val="004F6905"/>
    <w:rsid w:val="00553B67"/>
    <w:rsid w:val="005A4FFB"/>
    <w:rsid w:val="005C377E"/>
    <w:rsid w:val="005F458C"/>
    <w:rsid w:val="005F73CE"/>
    <w:rsid w:val="00622527"/>
    <w:rsid w:val="0063317A"/>
    <w:rsid w:val="00633F60"/>
    <w:rsid w:val="00636730"/>
    <w:rsid w:val="00665033"/>
    <w:rsid w:val="00670FF4"/>
    <w:rsid w:val="006B6D6D"/>
    <w:rsid w:val="006F14CF"/>
    <w:rsid w:val="00736DBA"/>
    <w:rsid w:val="00763529"/>
    <w:rsid w:val="00773759"/>
    <w:rsid w:val="007C4269"/>
    <w:rsid w:val="007D674A"/>
    <w:rsid w:val="007E6E49"/>
    <w:rsid w:val="008116CF"/>
    <w:rsid w:val="0085013D"/>
    <w:rsid w:val="00854AB4"/>
    <w:rsid w:val="00947BE6"/>
    <w:rsid w:val="00A46CC0"/>
    <w:rsid w:val="00A47D5D"/>
    <w:rsid w:val="00A55541"/>
    <w:rsid w:val="00AA250F"/>
    <w:rsid w:val="00AD1A3E"/>
    <w:rsid w:val="00AE14E6"/>
    <w:rsid w:val="00B36243"/>
    <w:rsid w:val="00B40E61"/>
    <w:rsid w:val="00B649A1"/>
    <w:rsid w:val="00B67C56"/>
    <w:rsid w:val="00B84E07"/>
    <w:rsid w:val="00BB3541"/>
    <w:rsid w:val="00C57B23"/>
    <w:rsid w:val="00C7263B"/>
    <w:rsid w:val="00C77526"/>
    <w:rsid w:val="00C80D3A"/>
    <w:rsid w:val="00CE0932"/>
    <w:rsid w:val="00CE5902"/>
    <w:rsid w:val="00D12D25"/>
    <w:rsid w:val="00D6189A"/>
    <w:rsid w:val="00D676AE"/>
    <w:rsid w:val="00DD10C3"/>
    <w:rsid w:val="00DD4782"/>
    <w:rsid w:val="00DF3645"/>
    <w:rsid w:val="00E069A0"/>
    <w:rsid w:val="00E209A0"/>
    <w:rsid w:val="00E727FD"/>
    <w:rsid w:val="00EA3DD8"/>
    <w:rsid w:val="00EC6711"/>
    <w:rsid w:val="00ED1A28"/>
    <w:rsid w:val="00ED5CC1"/>
    <w:rsid w:val="00F0732A"/>
    <w:rsid w:val="00FC3F7C"/>
    <w:rsid w:val="00FE7BC0"/>
    <w:rsid w:val="1DBA9C9D"/>
    <w:rsid w:val="3F44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E0425B"/>
  <w14:defaultImageDpi w14:val="300"/>
  <w15:docId w15:val="{0BAB6F26-3B60-462D-8C2B-887DB130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3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6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6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30"/>
    <w:rPr>
      <w:lang w:val="en-GB"/>
    </w:rPr>
  </w:style>
  <w:style w:type="paragraph" w:styleId="ListParagraph">
    <w:name w:val="List Paragraph"/>
    <w:aliases w:val="List Bullet Cab,CAB - List Bullet,Bullet Point,Bullet point,L,List Paragraph1,List Paragraph11,Recommendation,Bulletr List Paragraph,Content descriptions,FooterText,List Bullet 1,List Paragraph2,List Paragraph21,Listeafsnit1,リスト段落,Style 2"/>
    <w:basedOn w:val="Normal"/>
    <w:link w:val="ListParagraphChar"/>
    <w:uiPriority w:val="34"/>
    <w:qFormat/>
    <w:rsid w:val="00DD10C3"/>
    <w:pPr>
      <w:ind w:left="720"/>
      <w:contextualSpacing/>
    </w:pPr>
  </w:style>
  <w:style w:type="character" w:customStyle="1" w:styleId="ListParagraphChar">
    <w:name w:val="List Paragraph Char"/>
    <w:aliases w:val="List Bullet Cab Char,CAB - List Bullet Char,Bullet Point Char,Bullet point Char,L Char,List Paragraph1 Char,List Paragraph11 Char,Recommendation Char,Bulletr List Paragraph Char,Content descriptions Char,FooterText Char,リスト段落 Char"/>
    <w:basedOn w:val="DefaultParagraphFont"/>
    <w:link w:val="ListParagraph"/>
    <w:uiPriority w:val="34"/>
    <w:locked/>
    <w:rsid w:val="00B67C56"/>
    <w:rPr>
      <w:lang w:val="en-GB"/>
    </w:rPr>
  </w:style>
  <w:style w:type="character" w:customStyle="1" w:styleId="normaltextrun">
    <w:name w:val="normaltextrun"/>
    <w:basedOn w:val="DefaultParagraphFont"/>
    <w:rsid w:val="00B6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axCatchAll xmlns="534be037-e6ac-40e2-b567-fbcd5697fb9b" xsi:nil="true"/>
    <SharedWithUsers xmlns="534be037-e6ac-40e2-b567-fbcd5697fb9b">
      <UserInfo>
        <DisplayName>Laura Sidey</DisplayName>
        <AccountId>90</AccountId>
        <AccountType/>
      </UserInfo>
      <UserInfo>
        <DisplayName>Michelle Patt</DisplayName>
        <AccountId>310</AccountId>
        <AccountType/>
      </UserInfo>
      <UserInfo>
        <DisplayName>Cheryl Kalthofen</DisplayName>
        <AccountId>14</AccountId>
        <AccountType/>
      </UserInfo>
      <UserInfo>
        <DisplayName>David Phillips</DisplayName>
        <AccountId>236</AccountId>
        <AccountType/>
      </UserInfo>
      <UserInfo>
        <DisplayName>Louisa Begley</DisplayName>
        <AccountId>17</AccountId>
        <AccountType/>
      </UserInfo>
      <UserInfo>
        <DisplayName>Matthew Treglown</DisplayName>
        <AccountId>15</AccountId>
        <AccountType/>
      </UserInfo>
    </SharedWithUsers>
    <Template xmlns="b73538d9-b5f8-4aab-8108-950e719cba50" xsi:nil="true"/>
    <meetingnotes xmlns="b73538d9-b5f8-4aab-8108-950e719cba50" xsi:nil="true"/>
  </documentManagement>
</p:properties>
</file>

<file path=customXml/itemProps1.xml><?xml version="1.0" encoding="utf-8"?>
<ds:datastoreItem xmlns:ds="http://schemas.openxmlformats.org/officeDocument/2006/customXml" ds:itemID="{5DAD1EE5-9096-4AF6-B06D-F9BAA2C46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8DC54-08EE-482E-B27E-60FD5F88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63DB6-1AFD-4053-91F2-9073212FB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A7A20-8046-4FE7-949E-EE4FDBBE8DA6}">
  <ds:schemaRefs>
    <ds:schemaRef ds:uri="http://schemas.microsoft.com/office/2006/metadata/properties"/>
    <ds:schemaRef ds:uri="http://schemas.microsoft.com/office/infopath/2007/PartnerControls"/>
    <ds:schemaRef ds:uri="28393e99-d17a-458d-93e4-ec6bf03d5a59"/>
    <ds:schemaRef ds:uri="61860481-3fb3-48ee-b319-c013b6331a77"/>
    <ds:schemaRef ds:uri="b73538d9-b5f8-4aab-8108-950e719cba50"/>
    <ds:schemaRef ds:uri="534be037-e6ac-40e2-b567-fbcd5697f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Grant Cosgriff</cp:lastModifiedBy>
  <cp:revision>9</cp:revision>
  <dcterms:created xsi:type="dcterms:W3CDTF">2023-04-18T00:49:00Z</dcterms:created>
  <dcterms:modified xsi:type="dcterms:W3CDTF">2023-04-18T06:08:00Z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